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C5" w:rsidRDefault="000A6427">
      <w:r>
        <w:rPr>
          <w:noProof/>
        </w:rPr>
        <w:drawing>
          <wp:inline distT="0" distB="0" distL="0" distR="0">
            <wp:extent cx="3169920" cy="1365148"/>
            <wp:effectExtent l="0" t="0" r="0" b="6985"/>
            <wp:docPr id="1" name="Picture 1" descr="https://files.constantcontact.com/837fb1b2701/279d5a8a-1dba-40eb-81cc-f96f6dc93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837fb1b2701/279d5a8a-1dba-40eb-81cc-f96f6dc93ca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4796" cy="137155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9360"/>
      </w:tblGrid>
      <w:tr w:rsidR="000A6427" w:rsidTr="000A6427">
        <w:trPr>
          <w:jc w:val="center"/>
        </w:trPr>
        <w:tc>
          <w:tcPr>
            <w:tcW w:w="5000" w:type="pct"/>
            <w:shd w:val="clear" w:color="auto" w:fill="C45118"/>
          </w:tcPr>
          <w:tbl>
            <w:tblPr>
              <w:tblW w:w="5000" w:type="pct"/>
              <w:tblCellMar>
                <w:left w:w="0" w:type="dxa"/>
                <w:right w:w="0" w:type="dxa"/>
              </w:tblCellMar>
              <w:tblLook w:val="04A0" w:firstRow="1" w:lastRow="0" w:firstColumn="1" w:lastColumn="0" w:noHBand="0" w:noVBand="1"/>
            </w:tblPr>
            <w:tblGrid>
              <w:gridCol w:w="9360"/>
            </w:tblGrid>
            <w:tr w:rsidR="000A642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0A6427">
                    <w:trPr>
                      <w:trHeight w:val="15"/>
                      <w:jc w:val="center"/>
                    </w:trPr>
                    <w:tc>
                      <w:tcPr>
                        <w:tcW w:w="5000" w:type="pct"/>
                        <w:tcMar>
                          <w:top w:w="0" w:type="dxa"/>
                          <w:left w:w="0" w:type="dxa"/>
                          <w:bottom w:w="150" w:type="dxa"/>
                          <w:right w:w="0" w:type="dxa"/>
                        </w:tcMar>
                        <w:hideMark/>
                      </w:tcPr>
                      <w:p w:rsidR="000A6427" w:rsidRDefault="000A6427">
                        <w:pPr>
                          <w:spacing w:line="15" w:lineRule="atLeast"/>
                          <w:jc w:val="center"/>
                        </w:pPr>
                        <w:r>
                          <w:rPr>
                            <w:noProof/>
                          </w:rPr>
                          <w:drawing>
                            <wp:inline distT="0" distB="0" distL="0" distR="0">
                              <wp:extent cx="45720" cy="7620"/>
                              <wp:effectExtent l="0" t="0" r="0" b="0"/>
                              <wp:docPr id="5" name="Picture 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constantcontact.com/letters/images/sys/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0A6427" w:rsidRDefault="000A6427">
                  <w:pPr>
                    <w:jc w:val="center"/>
                    <w:rPr>
                      <w:rFonts w:eastAsia="Times New Roman"/>
                      <w:sz w:val="20"/>
                      <w:szCs w:val="20"/>
                    </w:rPr>
                  </w:pPr>
                </w:p>
              </w:tc>
            </w:tr>
            <w:tr w:rsidR="000A6427">
              <w:tc>
                <w:tcPr>
                  <w:tcW w:w="0" w:type="auto"/>
                  <w:tcMar>
                    <w:top w:w="150" w:type="dxa"/>
                    <w:left w:w="300" w:type="dxa"/>
                    <w:bottom w:w="150" w:type="dxa"/>
                    <w:right w:w="300" w:type="dxa"/>
                  </w:tcMar>
                  <w:hideMark/>
                </w:tcPr>
                <w:p w:rsidR="000A6427" w:rsidRPr="000A6427" w:rsidRDefault="000A6427">
                  <w:pPr>
                    <w:jc w:val="center"/>
                    <w:rPr>
                      <w:rFonts w:ascii="Georgia" w:hAnsi="Georgia"/>
                      <w:b/>
                      <w:bCs/>
                      <w:color w:val="FFFFFF"/>
                      <w:sz w:val="40"/>
                      <w:szCs w:val="40"/>
                    </w:rPr>
                  </w:pPr>
                  <w:r w:rsidRPr="000A6427">
                    <w:rPr>
                      <w:rFonts w:ascii="Georgia" w:hAnsi="Georgia"/>
                      <w:b/>
                      <w:bCs/>
                      <w:color w:val="FFFFFF"/>
                      <w:sz w:val="40"/>
                      <w:szCs w:val="40"/>
                    </w:rPr>
                    <w:t>URGENT MESSAGE REGARDING EARNE</w:t>
                  </w:r>
                  <w:bookmarkStart w:id="0" w:name="_GoBack"/>
                  <w:bookmarkEnd w:id="0"/>
                  <w:r w:rsidRPr="000A6427">
                    <w:rPr>
                      <w:rFonts w:ascii="Georgia" w:hAnsi="Georgia"/>
                      <w:b/>
                      <w:bCs/>
                      <w:color w:val="FFFFFF"/>
                      <w:sz w:val="40"/>
                      <w:szCs w:val="40"/>
                    </w:rPr>
                    <w:t xml:space="preserve">D INCOME TAX PROGRAM </w:t>
                  </w:r>
                </w:p>
                <w:p w:rsidR="000A6427" w:rsidRDefault="000A6427">
                  <w:pPr>
                    <w:jc w:val="center"/>
                    <w:rPr>
                      <w:rFonts w:ascii="Georgia" w:hAnsi="Georgia"/>
                      <w:b/>
                      <w:bCs/>
                      <w:color w:val="FFFFFF"/>
                      <w:sz w:val="48"/>
                      <w:szCs w:val="48"/>
                    </w:rPr>
                  </w:pPr>
                  <w:r w:rsidRPr="000A6427">
                    <w:rPr>
                      <w:rFonts w:ascii="Georgia" w:hAnsi="Georgia"/>
                      <w:b/>
                      <w:bCs/>
                      <w:color w:val="FFFFFF"/>
                      <w:sz w:val="40"/>
                      <w:szCs w:val="40"/>
                    </w:rPr>
                    <w:t>(EITC)</w:t>
                  </w:r>
                </w:p>
              </w:tc>
            </w:tr>
          </w:tbl>
          <w:p w:rsidR="000A6427" w:rsidRDefault="000A6427">
            <w:pPr>
              <w:rPr>
                <w:rFonts w:ascii="Times New Roman" w:hAnsi="Times New Roman"/>
                <w:sz w:val="24"/>
                <w:szCs w:val="24"/>
              </w:rPr>
            </w:pPr>
          </w:p>
          <w:tbl>
            <w:tblPr>
              <w:tblW w:w="4974" w:type="pct"/>
              <w:tblCellMar>
                <w:left w:w="0" w:type="dxa"/>
                <w:right w:w="0" w:type="dxa"/>
              </w:tblCellMar>
              <w:tblLook w:val="04A0" w:firstRow="1" w:lastRow="0" w:firstColumn="1" w:lastColumn="0" w:noHBand="0" w:noVBand="1"/>
            </w:tblPr>
            <w:tblGrid>
              <w:gridCol w:w="9311"/>
            </w:tblGrid>
            <w:tr w:rsidR="000A6427" w:rsidTr="000A6427">
              <w:trPr>
                <w:trHeight w:val="31"/>
              </w:trPr>
              <w:tc>
                <w:tcPr>
                  <w:tcW w:w="0" w:type="auto"/>
                  <w:hideMark/>
                </w:tcPr>
                <w:p w:rsidR="000A6427" w:rsidRDefault="000A6427">
                  <w:pPr>
                    <w:jc w:val="center"/>
                    <w:rPr>
                      <w:rFonts w:eastAsia="Times New Roman"/>
                      <w:sz w:val="20"/>
                      <w:szCs w:val="20"/>
                    </w:rPr>
                  </w:pPr>
                </w:p>
              </w:tc>
            </w:tr>
            <w:tr w:rsidR="000A6427" w:rsidTr="000A6427">
              <w:trPr>
                <w:trHeight w:val="47"/>
              </w:trPr>
              <w:tc>
                <w:tcPr>
                  <w:tcW w:w="0" w:type="auto"/>
                  <w:hideMark/>
                </w:tcPr>
                <w:p w:rsidR="000A6427" w:rsidRDefault="000A6427" w:rsidP="000A6427">
                  <w:pPr>
                    <w:rPr>
                      <w:sz w:val="24"/>
                      <w:szCs w:val="24"/>
                    </w:rPr>
                  </w:pPr>
                </w:p>
              </w:tc>
            </w:tr>
          </w:tbl>
          <w:p w:rsidR="000A6427" w:rsidRDefault="000A6427">
            <w:pPr>
              <w:rPr>
                <w:sz w:val="24"/>
                <w:szCs w:val="24"/>
              </w:rPr>
            </w:pPr>
          </w:p>
        </w:tc>
      </w:tr>
    </w:tbl>
    <w:p w:rsidR="000A6427" w:rsidRDefault="000A6427" w:rsidP="000A6427">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0A6427" w:rsidRPr="000A6427" w:rsidTr="000A642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0A6427" w:rsidRPr="000A6427">
              <w:tc>
                <w:tcPr>
                  <w:tcW w:w="0" w:type="auto"/>
                  <w:hideMark/>
                </w:tcPr>
                <w:p w:rsidR="000A6427" w:rsidRPr="000A6427" w:rsidRDefault="000A6427" w:rsidP="000A6427">
                  <w:pPr>
                    <w:spacing w:after="0" w:line="240" w:lineRule="auto"/>
                    <w:jc w:val="center"/>
                    <w:rPr>
                      <w:rFonts w:eastAsia="Times New Roman"/>
                      <w:sz w:val="24"/>
                      <w:szCs w:val="24"/>
                    </w:rPr>
                  </w:pPr>
                </w:p>
              </w:tc>
            </w:tr>
            <w:tr w:rsidR="000A6427" w:rsidRPr="000A6427">
              <w:tc>
                <w:tcPr>
                  <w:tcW w:w="0" w:type="auto"/>
                  <w:tcMar>
                    <w:top w:w="150" w:type="dxa"/>
                    <w:left w:w="300" w:type="dxa"/>
                    <w:bottom w:w="150" w:type="dxa"/>
                    <w:right w:w="300" w:type="dxa"/>
                  </w:tcMar>
                </w:tcPr>
                <w:p w:rsidR="000A6427" w:rsidRPr="000A6427" w:rsidRDefault="000A6427" w:rsidP="000A6427">
                  <w:pPr>
                    <w:spacing w:after="0" w:line="240" w:lineRule="auto"/>
                    <w:rPr>
                      <w:rFonts w:ascii="Georgia" w:hAnsi="Georgia"/>
                      <w:color w:val="2D3B55"/>
                      <w:sz w:val="24"/>
                      <w:szCs w:val="24"/>
                    </w:rPr>
                  </w:pPr>
                  <w:hyperlink r:id="rId6" w:tgtFrame="_blank" w:history="1">
                    <w:r w:rsidRPr="000A6427">
                      <w:rPr>
                        <w:rStyle w:val="Hyperlink"/>
                        <w:rFonts w:ascii="Tahoma" w:hAnsi="Tahoma" w:cs="Tahoma"/>
                        <w:color w:val="333333"/>
                        <w:sz w:val="24"/>
                        <w:szCs w:val="24"/>
                        <w:u w:val="none"/>
                      </w:rPr>
                      <w:t>﻿</w:t>
                    </w:r>
                  </w:hyperlink>
                  <w:r w:rsidRPr="000A6427">
                    <w:rPr>
                      <w:rFonts w:ascii="Georgia" w:hAnsi="Georgia"/>
                      <w:b/>
                      <w:bCs/>
                      <w:color w:val="2D3B55"/>
                      <w:sz w:val="24"/>
                      <w:szCs w:val="24"/>
                    </w:rPr>
                    <w:t xml:space="preserve">Community Action Akron Summit suspends </w:t>
                  </w:r>
                  <w:r w:rsidRPr="000A6427">
                    <w:rPr>
                      <w:rFonts w:ascii="Georgia" w:hAnsi="Georgia"/>
                      <w:b/>
                      <w:bCs/>
                      <w:color w:val="2D3B55"/>
                      <w:sz w:val="24"/>
                      <w:szCs w:val="24"/>
                    </w:rPr>
                    <w:t xml:space="preserve">free tax preparation </w:t>
                  </w:r>
                  <w:r w:rsidRPr="000A6427">
                    <w:rPr>
                      <w:rFonts w:ascii="Georgia" w:hAnsi="Georgia"/>
                      <w:b/>
                      <w:bCs/>
                      <w:color w:val="2D3B55"/>
                      <w:sz w:val="24"/>
                      <w:szCs w:val="24"/>
                    </w:rPr>
                    <w:t>services</w:t>
                  </w:r>
                  <w:r w:rsidRPr="000A6427">
                    <w:rPr>
                      <w:rFonts w:ascii="Georgia" w:hAnsi="Georgia"/>
                      <w:color w:val="2D3B55"/>
                      <w:sz w:val="24"/>
                      <w:szCs w:val="24"/>
                    </w:rPr>
                    <w:t xml:space="preserve"> </w:t>
                  </w:r>
                  <w:r w:rsidRPr="000A6427">
                    <w:rPr>
                      <w:rFonts w:ascii="Georgia" w:hAnsi="Georgia"/>
                      <w:b/>
                      <w:bCs/>
                      <w:color w:val="2D3B55"/>
                      <w:sz w:val="24"/>
                      <w:szCs w:val="24"/>
                    </w:rPr>
                    <w:t>(E</w:t>
                  </w:r>
                  <w:r w:rsidRPr="000A6427">
                    <w:rPr>
                      <w:rFonts w:ascii="Georgia" w:hAnsi="Georgia"/>
                      <w:b/>
                      <w:bCs/>
                      <w:color w:val="2D3B55"/>
                      <w:sz w:val="24"/>
                      <w:szCs w:val="24"/>
                    </w:rPr>
                    <w:t>arned Income Tax Program (EITC)</w:t>
                  </w:r>
                  <w:r w:rsidRPr="000A6427">
                    <w:rPr>
                      <w:rFonts w:ascii="Georgia" w:hAnsi="Georgia"/>
                      <w:b/>
                      <w:bCs/>
                      <w:color w:val="2D3B55"/>
                      <w:sz w:val="24"/>
                      <w:szCs w:val="24"/>
                    </w:rPr>
                    <w:t>)</w:t>
                  </w:r>
                </w:p>
                <w:p w:rsidR="000A6427" w:rsidRPr="000A6427" w:rsidRDefault="000A6427" w:rsidP="000A6427">
                  <w:pPr>
                    <w:spacing w:after="0" w:line="240" w:lineRule="auto"/>
                    <w:jc w:val="center"/>
                    <w:rPr>
                      <w:rFonts w:ascii="Georgia" w:hAnsi="Georgia"/>
                      <w:color w:val="2D3B55"/>
                      <w:sz w:val="24"/>
                      <w:szCs w:val="24"/>
                    </w:rPr>
                  </w:pPr>
                </w:p>
                <w:p w:rsidR="000A6427" w:rsidRPr="000A6427" w:rsidRDefault="000A6427" w:rsidP="000A6427">
                  <w:pPr>
                    <w:spacing w:after="0" w:line="240" w:lineRule="auto"/>
                    <w:rPr>
                      <w:rFonts w:ascii="Georgia" w:hAnsi="Georgia"/>
                      <w:color w:val="2D3B55"/>
                      <w:sz w:val="24"/>
                      <w:szCs w:val="24"/>
                    </w:rPr>
                  </w:pPr>
                  <w:r w:rsidRPr="000A6427">
                    <w:rPr>
                      <w:rFonts w:ascii="Georgia" w:hAnsi="Georgia"/>
                      <w:color w:val="2D3B55"/>
                      <w:sz w:val="24"/>
                      <w:szCs w:val="24"/>
                    </w:rPr>
                    <w:t>During this unprecedented health care crisis, Community Action Akron Summit is following the new federal and Ohio guidelines regarding social distancing. Therefore, we are suspending the Earned Income Tax Credit Program services for the remaining tax season.</w:t>
                  </w:r>
                </w:p>
                <w:p w:rsidR="000A6427" w:rsidRPr="000A6427" w:rsidRDefault="000A6427" w:rsidP="000A6427">
                  <w:pPr>
                    <w:spacing w:after="0" w:line="240" w:lineRule="auto"/>
                    <w:rPr>
                      <w:rFonts w:ascii="Georgia" w:hAnsi="Georgia"/>
                      <w:color w:val="2D3B55"/>
                      <w:sz w:val="24"/>
                      <w:szCs w:val="24"/>
                    </w:rPr>
                  </w:pPr>
                </w:p>
                <w:p w:rsidR="000A6427" w:rsidRPr="000A6427" w:rsidRDefault="000A6427" w:rsidP="000A6427">
                  <w:pPr>
                    <w:spacing w:after="0" w:line="240" w:lineRule="auto"/>
                    <w:rPr>
                      <w:rFonts w:ascii="Georgia" w:hAnsi="Georgia"/>
                      <w:color w:val="2D3B55"/>
                      <w:sz w:val="24"/>
                      <w:szCs w:val="24"/>
                    </w:rPr>
                  </w:pPr>
                  <w:r w:rsidRPr="000A6427">
                    <w:rPr>
                      <w:rFonts w:ascii="Georgia" w:hAnsi="Georgia"/>
                      <w:color w:val="2D3B55"/>
                      <w:sz w:val="24"/>
                      <w:szCs w:val="24"/>
                    </w:rPr>
                    <w:t>The concerns around the rapid spread of COVID-19 have already had a major impact on our daily routines. The safety and well-being of our clients, employees and volunteers are of utmost importance.</w:t>
                  </w:r>
                </w:p>
                <w:p w:rsidR="000A6427" w:rsidRPr="000A6427" w:rsidRDefault="000A6427" w:rsidP="000A6427">
                  <w:pPr>
                    <w:spacing w:after="0" w:line="240" w:lineRule="auto"/>
                    <w:rPr>
                      <w:rFonts w:ascii="Georgia" w:hAnsi="Georgia"/>
                      <w:color w:val="2D3B55"/>
                      <w:sz w:val="24"/>
                      <w:szCs w:val="24"/>
                    </w:rPr>
                  </w:pPr>
                  <w:r w:rsidRPr="000A6427">
                    <w:rPr>
                      <w:rFonts w:ascii="Georgia" w:hAnsi="Georgia"/>
                      <w:color w:val="2D3B55"/>
                      <w:sz w:val="24"/>
                      <w:szCs w:val="24"/>
                    </w:rPr>
                    <w:t>As you all are aware, each and every one of us has a critical role to play in stopping the spread and transmission of the virus.</w:t>
                  </w:r>
                </w:p>
                <w:p w:rsidR="000A6427" w:rsidRPr="000A6427" w:rsidRDefault="000A6427" w:rsidP="000A6427">
                  <w:pPr>
                    <w:spacing w:after="0" w:line="240" w:lineRule="auto"/>
                    <w:rPr>
                      <w:rFonts w:ascii="Georgia" w:hAnsi="Georgia"/>
                      <w:color w:val="2D3B55"/>
                      <w:sz w:val="24"/>
                      <w:szCs w:val="24"/>
                    </w:rPr>
                  </w:pPr>
                </w:p>
                <w:p w:rsidR="000A6427" w:rsidRPr="000A6427" w:rsidRDefault="000A6427" w:rsidP="000A6427">
                  <w:pPr>
                    <w:spacing w:after="0" w:line="240" w:lineRule="auto"/>
                    <w:rPr>
                      <w:rFonts w:ascii="Georgia" w:hAnsi="Georgia"/>
                      <w:color w:val="2D3B55"/>
                      <w:sz w:val="24"/>
                      <w:szCs w:val="24"/>
                    </w:rPr>
                  </w:pPr>
                  <w:r w:rsidRPr="000A6427">
                    <w:rPr>
                      <w:rFonts w:ascii="Georgia" w:hAnsi="Georgia"/>
                      <w:color w:val="2D3B55"/>
                      <w:sz w:val="24"/>
                      <w:szCs w:val="24"/>
                    </w:rPr>
                    <w:t>Be well!</w:t>
                  </w:r>
                </w:p>
              </w:tc>
            </w:tr>
          </w:tbl>
          <w:p w:rsidR="000A6427" w:rsidRPr="000A6427" w:rsidRDefault="000A6427" w:rsidP="000A6427">
            <w:pPr>
              <w:spacing w:after="0" w:line="240" w:lineRule="auto"/>
              <w:rPr>
                <w:rFonts w:ascii="Times New Roman" w:eastAsia="Times New Roman" w:hAnsi="Times New Roman"/>
                <w:sz w:val="24"/>
                <w:szCs w:val="24"/>
              </w:rPr>
            </w:pPr>
          </w:p>
        </w:tc>
      </w:tr>
    </w:tbl>
    <w:p w:rsidR="000A6427" w:rsidRPr="000A6427" w:rsidRDefault="000A6427" w:rsidP="000A6427">
      <w:pPr>
        <w:spacing w:after="0" w:line="240" w:lineRule="auto"/>
        <w:rPr>
          <w:sz w:val="24"/>
          <w:szCs w:val="24"/>
        </w:rPr>
      </w:pPr>
    </w:p>
    <w:sectPr w:rsidR="000A6427" w:rsidRPr="000A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27"/>
    <w:rsid w:val="000A6427"/>
    <w:rsid w:val="0073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5D29"/>
  <w15:chartTrackingRefBased/>
  <w15:docId w15:val="{0F28F804-313E-4F00-9DFD-E33CA693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nuYCCYEYD1IjE6Kt0eUvf"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Akron Metropolitan Housing Authority</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Paquette</dc:creator>
  <cp:keywords/>
  <dc:description/>
  <cp:lastModifiedBy>Erin Paquette</cp:lastModifiedBy>
  <cp:revision>1</cp:revision>
  <dcterms:created xsi:type="dcterms:W3CDTF">2020-03-19T13:55:00Z</dcterms:created>
  <dcterms:modified xsi:type="dcterms:W3CDTF">2020-03-19T13:58:00Z</dcterms:modified>
</cp:coreProperties>
</file>